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75" w:rsidRDefault="00DA7475"/>
    <w:tbl>
      <w:tblPr>
        <w:tblW w:w="94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A7475" w:rsidRPr="00DA7475" w:rsidTr="00DA7475">
        <w:trPr>
          <w:trHeight w:val="7333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4922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DA7475" w:rsidRPr="00DA7475" w:rsidTr="00DA7475">
              <w:trPr>
                <w:trHeight w:val="42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948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7475" w:rsidRPr="00DA7475" w:rsidTr="00DA7475">
                    <w:trPr>
                      <w:trHeight w:val="420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948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7475" w:rsidRPr="00DA7475" w:rsidTr="00DA7475">
                          <w:trPr>
                            <w:trHeight w:val="4032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05" w:type="dxa"/>
                                <w:left w:w="225" w:type="dxa"/>
                                <w:bottom w:w="10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DA7475" w:rsidRPr="00DA7475" w:rsidRDefault="00DA7475" w:rsidP="00DA747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bookmarkStart w:id="0" w:name="m_-4448652517681310232_Top"/>
                              <w:bookmarkEnd w:id="0"/>
                              <w:r w:rsidRPr="00DA7475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anchor distT="0" distB="0" distL="0" distR="0" simplePos="0" relativeHeight="251659264" behindDoc="0" locked="0" layoutInCell="1" allowOverlap="0" wp14:anchorId="324D8E3B" wp14:editId="26A10850">
                                    <wp:simplePos x="0" y="0"/>
                                    <wp:positionH relativeFrom="column">
                                      <wp:posOffset>-244475</wp:posOffset>
                                    </wp:positionH>
                                    <wp:positionV relativeFrom="line">
                                      <wp:posOffset>-3810</wp:posOffset>
                                    </wp:positionV>
                                    <wp:extent cx="5960745" cy="3248025"/>
                                    <wp:effectExtent l="0" t="0" r="1905" b="9525"/>
                                    <wp:wrapSquare wrapText="bothSides"/>
                                    <wp:docPr id="2" name="Immagine 2" descr="https://campaign-image.com/zohocampaigns/433705000011086004_zc_v24_header_(1)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campaign-image.com/zohocampaigns/433705000011086004_zc_v24_header_(1)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60745" cy="3248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</w:tc>
                        </w:tr>
                        <w:tr w:rsidR="00DA7475" w:rsidRPr="00DA7475" w:rsidTr="00DA7475">
                          <w:trPr>
                            <w:trHeight w:val="114"/>
                          </w:trPr>
                          <w:tc>
                            <w:tcPr>
                              <w:tcW w:w="94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A7475" w:rsidRPr="00DA7475" w:rsidRDefault="00DA7475" w:rsidP="00DA7475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DA7475" w:rsidRPr="00DA7475" w:rsidRDefault="00DA7475" w:rsidP="00DA747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DA7475" w:rsidRPr="00DA7475" w:rsidRDefault="00DA7475" w:rsidP="00DA747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A7475" w:rsidRPr="00DA7475" w:rsidTr="00DA7475">
              <w:trPr>
                <w:trHeight w:val="5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7475" w:rsidRPr="00DA7475" w:rsidTr="00DA7475">
                    <w:trPr>
                      <w:trHeight w:val="1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270" w:type="dxa"/>
                          <w:left w:w="105" w:type="dxa"/>
                          <w:bottom w:w="270" w:type="dxa"/>
                          <w:right w:w="105" w:type="dxa"/>
                        </w:tcMar>
                        <w:vAlign w:val="center"/>
                        <w:hideMark/>
                      </w:tcPr>
                      <w:tbl>
                        <w:tblPr>
                          <w:tblW w:w="8532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32"/>
                        </w:tblGrid>
                        <w:tr w:rsidR="00DA7475" w:rsidRPr="00DA7475" w:rsidTr="00DA7475">
                          <w:trPr>
                            <w:trHeight w:val="139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Borders>
                                <w:top w:val="single" w:sz="12" w:space="0" w:color="FFCF41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A7475" w:rsidRPr="00DA7475" w:rsidRDefault="00DA7475" w:rsidP="00DA7475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"/>
                                  <w:szCs w:val="2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DA7475" w:rsidRPr="00DA7475" w:rsidRDefault="00DA7475" w:rsidP="00DA747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8"/>
                            <w:szCs w:val="8"/>
                            <w:lang w:eastAsia="it-IT"/>
                          </w:rPr>
                        </w:pPr>
                      </w:p>
                    </w:tc>
                  </w:tr>
                </w:tbl>
                <w:p w:rsidR="00DA7475" w:rsidRPr="00DA7475" w:rsidRDefault="00DA7475" w:rsidP="00DA747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A7475" w:rsidRPr="00DA7475" w:rsidTr="00DA7475">
              <w:trPr>
                <w:trHeight w:val="69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7475" w:rsidRPr="00DA7475" w:rsidTr="00DA7475">
                    <w:trPr>
                      <w:trHeight w:val="528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225" w:type="dxa"/>
                          <w:bottom w:w="105" w:type="dxa"/>
                          <w:right w:w="225" w:type="dxa"/>
                        </w:tcMar>
                        <w:vAlign w:val="center"/>
                        <w:hideMark/>
                      </w:tcPr>
                      <w:p w:rsidR="00DA7475" w:rsidRPr="00DA7475" w:rsidRDefault="00DA7475" w:rsidP="00DA747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it-IT"/>
                          </w:rPr>
                        </w:pPr>
                        <w:r w:rsidRPr="00DA747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C000" w:themeColor="accent4"/>
                            <w:sz w:val="28"/>
                            <w:szCs w:val="28"/>
                            <w:lang w:eastAsia="it-IT"/>
                          </w:rPr>
                          <w:t>PREMIO LETTERARIO GALILEO 2020: UN'OPPORTUNITÀ PER I SUOI STUDENTI DI ENTRARE NELLA GIURIA DEL PREMIO</w:t>
                        </w:r>
                      </w:p>
                    </w:tc>
                  </w:tr>
                </w:tbl>
                <w:p w:rsidR="00DA7475" w:rsidRPr="00DA7475" w:rsidRDefault="00DA7475" w:rsidP="00DA747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A7475" w:rsidRPr="00DA7475" w:rsidTr="00DA7475">
              <w:trPr>
                <w:trHeight w:val="4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7475" w:rsidRPr="00DA7475" w:rsidTr="00DA7475">
                    <w:trPr>
                      <w:trHeight w:val="44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70" w:type="dxa"/>
                          <w:left w:w="105" w:type="dxa"/>
                          <w:bottom w:w="270" w:type="dxa"/>
                          <w:right w:w="105" w:type="dxa"/>
                        </w:tcMar>
                        <w:vAlign w:val="center"/>
                        <w:hideMark/>
                      </w:tcPr>
                      <w:tbl>
                        <w:tblPr>
                          <w:tblW w:w="9121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1"/>
                        </w:tblGrid>
                        <w:tr w:rsidR="00DA7475" w:rsidRPr="00DA7475" w:rsidTr="00DA7475">
                          <w:trPr>
                            <w:trHeight w:val="114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Borders>
                                <w:top w:val="single" w:sz="12" w:space="0" w:color="FFCF41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A7475" w:rsidRPr="00DA7475" w:rsidRDefault="00DA7475" w:rsidP="00DA7475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"/>
                                  <w:szCs w:val="2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DA7475" w:rsidRPr="00DA7475" w:rsidRDefault="00DA7475" w:rsidP="00DA747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DA7475" w:rsidRPr="00DA7475" w:rsidRDefault="00DA7475" w:rsidP="00DA747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A7475" w:rsidRPr="00DA7475" w:rsidTr="00DA7475">
              <w:trPr>
                <w:trHeight w:val="39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A7475" w:rsidRPr="00DA7475" w:rsidRDefault="00DA7475" w:rsidP="00DA747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DA7475" w:rsidRPr="00DA7475" w:rsidRDefault="00DA7475" w:rsidP="00DA747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it-IT"/>
              </w:rPr>
            </w:pPr>
          </w:p>
        </w:tc>
      </w:tr>
    </w:tbl>
    <w:p w:rsidR="00DA7475" w:rsidRDefault="00DA7475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B6596" w:rsidRPr="004B6596" w:rsidTr="004B65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7475" w:rsidRDefault="00DA7475" w:rsidP="00DA7475">
            <w:pPr>
              <w:jc w:val="both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B6596" w:rsidRPr="004B6596" w:rsidTr="004B659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Venerdì 8 maggio 2020, alle ore 10.30, l'Aula Magna dell'Università di Padova ospiterà la cerimonia di consegna del </w:t>
                  </w:r>
                  <w:r w:rsidR="00BD2F7F">
                    <w:rPr>
                      <w:rFonts w:ascii="Helvetica" w:eastAsia="Times New Roman" w:hAnsi="Helvetica" w:cs="Helvetica"/>
                      <w:bCs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begin"/>
                  </w:r>
                  <w:r w:rsidR="00BD2F7F">
                    <w:rPr>
                      <w:rFonts w:ascii="Helvetica" w:eastAsia="Times New Roman" w:hAnsi="Helvetica" w:cs="Helvetica"/>
                      <w:bCs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instrText xml:space="preserve"> HYPERLINK "http://www.premiogalileo.it/" </w:instrText>
                  </w:r>
                  <w:r w:rsidR="00BD2F7F">
                    <w:rPr>
                      <w:rFonts w:ascii="Helvetica" w:eastAsia="Times New Roman" w:hAnsi="Helvetica" w:cs="Helvetica"/>
                      <w:bCs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</w:r>
                  <w:r w:rsidR="00BD2F7F">
                    <w:rPr>
                      <w:rFonts w:ascii="Helvetica" w:eastAsia="Times New Roman" w:hAnsi="Helvetica" w:cs="Helvetica"/>
                      <w:bCs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separate"/>
                  </w:r>
                  <w:r w:rsidRPr="00BD2F7F">
                    <w:rPr>
                      <w:rStyle w:val="Collegamentoipertestuale"/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Premio letterario Galileo per la Divulgazione Scientifica</w:t>
                  </w:r>
                  <w:r w:rsidR="00BD2F7F">
                    <w:rPr>
                      <w:rFonts w:ascii="Helvetica" w:eastAsia="Times New Roman" w:hAnsi="Helvetica" w:cs="Helvetica"/>
                      <w:bCs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end"/>
                  </w:r>
                  <w:r w:rsidRPr="004B6596">
                    <w:rPr>
                      <w:rFonts w:ascii="Helvetica" w:eastAsia="Times New Roman" w:hAnsi="Helvetica" w:cs="Helvetica"/>
                      <w:bCs/>
                      <w:color w:val="FFC000" w:themeColor="accent4"/>
                      <w:sz w:val="20"/>
                      <w:szCs w:val="20"/>
                      <w:lang w:eastAsia="it-IT"/>
                    </w:rPr>
                    <w:t>.</w:t>
                  </w: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 xml:space="preserve"> Giunto quest'anno alla quattordicesima edizione, il Premio è promosso dal Comune di Padova, nell'ambito </w:t>
                  </w:r>
                  <w:hyperlink r:id="rId6" w:history="1">
                    <w:r w:rsidRPr="00F74771">
                      <w:rPr>
                        <w:rStyle w:val="Collegamentoipertestuale"/>
                        <w:rFonts w:ascii="Helvetica" w:eastAsia="Times New Roman" w:hAnsi="Helvetica" w:cs="Helvetica"/>
                        <w:sz w:val="20"/>
                        <w:szCs w:val="20"/>
                        <w:lang w:eastAsia="it-IT"/>
                      </w:rPr>
                      <w:t>di </w:t>
                    </w:r>
                    <w:r w:rsidRPr="00F74771">
                      <w:rPr>
                        <w:rStyle w:val="Collegamentoipertestuale"/>
                        <w:rFonts w:ascii="Helvetica" w:eastAsia="Times New Roman" w:hAnsi="Helvetica" w:cs="Helvetica"/>
                        <w:bCs/>
                        <w:sz w:val="20"/>
                        <w:szCs w:val="20"/>
                        <w:lang w:eastAsia="it-IT"/>
                      </w:rPr>
                      <w:t>Galileo-Sett</w:t>
                    </w:r>
                    <w:r w:rsidRPr="00F74771">
                      <w:rPr>
                        <w:rStyle w:val="Collegamentoipertestuale"/>
                        <w:rFonts w:ascii="Helvetica" w:eastAsia="Times New Roman" w:hAnsi="Helvetica" w:cs="Helvetica"/>
                        <w:bCs/>
                        <w:sz w:val="20"/>
                        <w:szCs w:val="20"/>
                        <w:lang w:eastAsia="it-IT"/>
                      </w:rPr>
                      <w:t>imana della Scienza e Innovazione</w:t>
                    </w:r>
                  </w:hyperlink>
                  <w:r w:rsidRPr="00F74771">
                    <w:rPr>
                      <w:rFonts w:ascii="Helvetica" w:eastAsia="Times New Roman" w:hAnsi="Helvetica" w:cs="Helvetica"/>
                      <w:color w:val="FFCF41"/>
                      <w:sz w:val="20"/>
                      <w:szCs w:val="20"/>
                      <w:u w:val="single"/>
                      <w:lang w:eastAsia="it-IT"/>
                    </w:rPr>
                    <w:t> </w:t>
                  </w: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che si svolgerà dal 4 al 10 maggio 2020.</w:t>
                  </w:r>
                </w:p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È con piacere che Le segnaliamo che gli studenti del Suo Ateneo potranno inviare la propria candidatura per far parte della </w:t>
                  </w:r>
                  <w:r w:rsidRPr="004B6596">
                    <w:rPr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Giuria esterna</w:t>
                  </w: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 del Premio. La Giuria esterna, che sarà composta da 100 studenti universitari, voterà i 5 volumi finalisti che sono stati scelti dalla Giuria scientifica, formata da scienziati, ricercatori, giornalisti e scrittori. I libri finalisti dell'edizione 2020 del Premio sono:</w:t>
                  </w:r>
                </w:p>
                <w:p w:rsidR="004B6596" w:rsidRPr="004B6596" w:rsidRDefault="004B6596" w:rsidP="00DA747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945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“Il giro del mondo in sei milioni di anni”</w:t>
                  </w: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 xml:space="preserve"> (Il Mulino) di Guido </w:t>
                  </w:r>
                  <w:proofErr w:type="spellStart"/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Barbujani</w:t>
                  </w:r>
                  <w:proofErr w:type="spellEnd"/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 xml:space="preserve"> e Andrea Brunelli</w:t>
                  </w:r>
                </w:p>
                <w:p w:rsidR="004B6596" w:rsidRPr="004B6596" w:rsidRDefault="004B6596" w:rsidP="00DA747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945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“Senza confini. Le straordinarie storie degli animali migratori”</w:t>
                  </w: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 xml:space="preserve"> (Codice Edizioni) di Francesca </w:t>
                  </w:r>
                  <w:proofErr w:type="spellStart"/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Buoninconti</w:t>
                  </w:r>
                  <w:proofErr w:type="spellEnd"/>
                </w:p>
                <w:p w:rsidR="004B6596" w:rsidRPr="004B6596" w:rsidRDefault="004B6596" w:rsidP="00DA747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945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“La trama della vita. La scienza della longevità e la cura dell’incurabile tra ricerca e false promesse”</w:t>
                  </w: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 xml:space="preserve"> (Marsilio Editori) di Giulio </w:t>
                  </w:r>
                  <w:proofErr w:type="spellStart"/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Cossu</w:t>
                  </w:r>
                  <w:proofErr w:type="spellEnd"/>
                </w:p>
                <w:p w:rsidR="004B6596" w:rsidRPr="004B6596" w:rsidRDefault="004B6596" w:rsidP="00DA747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945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“Il senso perfetto. Mai sottovalutare il naso”</w:t>
                  </w: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 (Codice Edizioni) di Anna D’Errico</w:t>
                  </w:r>
                </w:p>
                <w:p w:rsidR="004B6596" w:rsidRPr="004B6596" w:rsidRDefault="004B6596" w:rsidP="00DA747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945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“</w:t>
                  </w:r>
                  <w:proofErr w:type="spellStart"/>
                  <w:r w:rsidRPr="004B6596">
                    <w:rPr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Cybercrime</w:t>
                  </w:r>
                  <w:proofErr w:type="spellEnd"/>
                  <w:r w:rsidRPr="004B6596">
                    <w:rPr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. Attacchi globali, conseguenze locali”</w:t>
                  </w: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 xml:space="preserve"> (Hoepli) di Carola </w:t>
                  </w:r>
                  <w:proofErr w:type="spellStart"/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Frediani</w:t>
                  </w:r>
                  <w:proofErr w:type="spellEnd"/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.</w:t>
                  </w:r>
                </w:p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lastRenderedPageBreak/>
                    <w:t>Gli studenti che parteciperanno alla Giuria esterna </w:t>
                  </w:r>
                  <w:r w:rsidRPr="004B6596">
                    <w:rPr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riceveranno i 5 volumi finalisti del Premio in formato elettronico</w:t>
                  </w: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 e potranno esprimere la propria votazione con le modalità che saranno loro indicate. Per poter far parte della Giuria del Premio, gli studenti dovranno essere iscritti all'Università per l'anno in corso (</w:t>
                  </w:r>
                  <w:proofErr w:type="spellStart"/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a.a</w:t>
                  </w:r>
                  <w:proofErr w:type="spellEnd"/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. 2019-2020) e garantire la propria partecipazione giovedì 7 alle presentazioni dei volumi da parte degli autori e venerdì 8 maggio alla Cerimonia di premiazione che si terrà in Aula Magna dell'Università di Padova.</w:t>
                  </w:r>
                </w:p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Gli studenti interessati a far parte della Giuria potranno </w:t>
                  </w:r>
                  <w:r w:rsidR="00CF0875">
                    <w:rPr>
                      <w:rFonts w:ascii="Helvetica" w:eastAsia="Times New Roman" w:hAnsi="Helvetica" w:cs="Helvetica"/>
                      <w:bCs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begin"/>
                  </w:r>
                  <w:r w:rsidR="00CF0875">
                    <w:rPr>
                      <w:rFonts w:ascii="Helvetica" w:eastAsia="Times New Roman" w:hAnsi="Helvetica" w:cs="Helvetica"/>
                      <w:bCs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instrText xml:space="preserve"> HYPERLINK "https://forms.zohopublic.com/goodnetsrl/form/GiuriaesternaPremioGalileo2020/formperma/PBdCBPD3-qHq1_i-VSob24zRCWYsMs7Ap0ev51tQMKA" </w:instrText>
                  </w:r>
                  <w:r w:rsidR="00CF0875">
                    <w:rPr>
                      <w:rFonts w:ascii="Helvetica" w:eastAsia="Times New Roman" w:hAnsi="Helvetica" w:cs="Helvetica"/>
                      <w:bCs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</w:r>
                  <w:r w:rsidR="00CF0875">
                    <w:rPr>
                      <w:rFonts w:ascii="Helvetica" w:eastAsia="Times New Roman" w:hAnsi="Helvetica" w:cs="Helvetica"/>
                      <w:bCs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separate"/>
                  </w:r>
                  <w:r w:rsidRPr="00CF0875">
                    <w:rPr>
                      <w:rStyle w:val="Collegamentoipertestuale"/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i</w:t>
                  </w:r>
                  <w:r w:rsidRPr="00CF0875">
                    <w:rPr>
                      <w:rStyle w:val="Collegamentoipertestuale"/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nviar</w:t>
                  </w:r>
                  <w:r w:rsidRPr="00CF0875">
                    <w:rPr>
                      <w:rStyle w:val="Collegamentoipertestuale"/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 xml:space="preserve">e </w:t>
                  </w:r>
                  <w:r w:rsidRPr="00CF0875">
                    <w:rPr>
                      <w:rStyle w:val="Collegamentoipertestuale"/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 xml:space="preserve">la </w:t>
                  </w:r>
                  <w:r w:rsidRPr="00CF0875">
                    <w:rPr>
                      <w:rStyle w:val="Collegamentoipertestuale"/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 xml:space="preserve">propria </w:t>
                  </w:r>
                  <w:r w:rsidRPr="00CF0875">
                    <w:rPr>
                      <w:rStyle w:val="Collegamentoipertestuale"/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candidatura compilando il modulo disponibile a questo link entro il 29 febbraio 2020</w:t>
                  </w:r>
                  <w:r w:rsidRPr="00CF0875">
                    <w:rPr>
                      <w:rStyle w:val="Collegamentoipertestuale"/>
                      <w:rFonts w:ascii="Helvetica" w:eastAsia="Times New Roman" w:hAnsi="Helvetica" w:cs="Helvetica"/>
                      <w:bCs/>
                      <w:sz w:val="20"/>
                      <w:szCs w:val="20"/>
                      <w:lang w:eastAsia="it-IT"/>
                    </w:rPr>
                    <w:t>.</w:t>
                  </w:r>
                  <w:r w:rsidR="00CF0875">
                    <w:rPr>
                      <w:rFonts w:ascii="Helvetica" w:eastAsia="Times New Roman" w:hAnsi="Helvetica" w:cs="Helvetica"/>
                      <w:bCs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end"/>
                  </w:r>
                  <w:r w:rsidRPr="00CF0875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t> </w:t>
                  </w: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I partecipanti alla Giuria esterna verranno estratti a sorte tra tutte le candidature raccolte garantendo un'adeguata rappresentatività dell'intero territorio nazionale; gli esiti dell'estrazione saranno comunicati ai diretti interessati via mail entro il 16 marzo 2020. Gli studenti che saranno estratti, ed eventualmente interessati, potranno partecipare anche a tutte le attività e conferenze di Galileo-Settimana della Scienza e Innovazione.</w:t>
                  </w:r>
                </w:p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In considerazione del prestigio del Premio, La invitiamo a condividere questa opportunità con tutti gli studenti del Suo Ateneo, affinché possano inviare la propria candidatura.</w:t>
                  </w:r>
                </w:p>
              </w:tc>
            </w:tr>
          </w:tbl>
          <w:p w:rsidR="004B6596" w:rsidRPr="004B6596" w:rsidRDefault="004B6596" w:rsidP="00DA747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it-IT"/>
              </w:rPr>
            </w:pPr>
          </w:p>
        </w:tc>
      </w:tr>
      <w:tr w:rsidR="004B6596" w:rsidRPr="004B6596" w:rsidTr="004B65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B6596" w:rsidRPr="004B6596">
              <w:tc>
                <w:tcPr>
                  <w:tcW w:w="0" w:type="auto"/>
                  <w:vAlign w:val="center"/>
                  <w:hideMark/>
                </w:tcPr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4B6596" w:rsidRPr="004B6596" w:rsidRDefault="004B6596" w:rsidP="00DA747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it-IT"/>
              </w:rPr>
            </w:pPr>
          </w:p>
        </w:tc>
      </w:tr>
    </w:tbl>
    <w:p w:rsidR="002278BB" w:rsidRDefault="007F604A" w:rsidP="00DA7475">
      <w:pPr>
        <w:jc w:val="both"/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B6596" w:rsidRPr="004B6596" w:rsidTr="004B65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B6596" w:rsidRPr="004B6596" w:rsidTr="004B659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In considerazione del prestigio del Premio, La invitiamo a condividere questa opportunità con tutti gli studenti del Suo Ateneo, affinché possano inviare la propria candidatura.</w:t>
                  </w:r>
                </w:p>
              </w:tc>
            </w:tr>
          </w:tbl>
          <w:p w:rsidR="004B6596" w:rsidRPr="004B6596" w:rsidRDefault="004B6596" w:rsidP="00DA747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it-IT"/>
              </w:rPr>
            </w:pPr>
          </w:p>
        </w:tc>
      </w:tr>
      <w:tr w:rsidR="004B6596" w:rsidRPr="004B6596" w:rsidTr="004B65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B6596" w:rsidRPr="004B6596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54"/>
                  </w:tblGrid>
                  <w:tr w:rsidR="004B6596" w:rsidRPr="004B6596" w:rsidTr="00CF0875">
                    <w:trPr>
                      <w:tblCellSpacing w:w="0" w:type="dxa"/>
                      <w:jc w:val="center"/>
                    </w:trPr>
                    <w:tc>
                      <w:tcPr>
                        <w:tcW w:w="59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6596" w:rsidRPr="004B6596" w:rsidRDefault="00CF0875" w:rsidP="004B659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it-IT"/>
                          </w:rPr>
                        </w:pPr>
                        <w:hyperlink r:id="rId7" w:history="1">
                          <w:r w:rsidR="004B6596" w:rsidRPr="00CF0875">
                            <w:rPr>
                              <w:rStyle w:val="Collegamentoipertestuale"/>
                              <w:rFonts w:ascii="Arial" w:eastAsia="Times New Roman" w:hAnsi="Arial" w:cs="Arial"/>
                              <w:bdr w:val="single" w:sz="2" w:space="0" w:color="D9D9D9" w:frame="1"/>
                              <w:shd w:val="clear" w:color="auto" w:fill="DDDDDD"/>
                              <w:lang w:eastAsia="it-IT"/>
                            </w:rPr>
                            <w:t>Clicc</w:t>
                          </w:r>
                          <w:bookmarkStart w:id="1" w:name="_GoBack"/>
                          <w:bookmarkEnd w:id="1"/>
                          <w:r w:rsidR="004B6596" w:rsidRPr="00CF0875">
                            <w:rPr>
                              <w:rStyle w:val="Collegamentoipertestuale"/>
                              <w:rFonts w:ascii="Arial" w:eastAsia="Times New Roman" w:hAnsi="Arial" w:cs="Arial"/>
                              <w:bdr w:val="single" w:sz="2" w:space="0" w:color="D9D9D9" w:frame="1"/>
                              <w:shd w:val="clear" w:color="auto" w:fill="DDDDDD"/>
                              <w:lang w:eastAsia="it-IT"/>
                            </w:rPr>
                            <w:t>a</w:t>
                          </w:r>
                          <w:r w:rsidR="004B6596" w:rsidRPr="00CF0875">
                            <w:rPr>
                              <w:rStyle w:val="Collegamentoipertestuale"/>
                              <w:rFonts w:ascii="Arial" w:eastAsia="Times New Roman" w:hAnsi="Arial" w:cs="Arial"/>
                              <w:bdr w:val="single" w:sz="2" w:space="0" w:color="D9D9D9" w:frame="1"/>
                              <w:shd w:val="clear" w:color="auto" w:fill="DDDDDD"/>
                              <w:lang w:eastAsia="it-IT"/>
                            </w:rPr>
                            <w:t xml:space="preserve"> </w:t>
                          </w:r>
                          <w:r w:rsidR="004B6596" w:rsidRPr="00CF0875">
                            <w:rPr>
                              <w:rStyle w:val="Collegamentoipertestuale"/>
                              <w:rFonts w:ascii="Arial" w:eastAsia="Times New Roman" w:hAnsi="Arial" w:cs="Arial"/>
                              <w:bdr w:val="single" w:sz="2" w:space="0" w:color="D9D9D9" w:frame="1"/>
                              <w:shd w:val="clear" w:color="auto" w:fill="DDDDDD"/>
                              <w:lang w:eastAsia="it-IT"/>
                            </w:rPr>
                            <w:t xml:space="preserve">qui </w:t>
                          </w:r>
                          <w:r w:rsidR="004B6596" w:rsidRPr="00CF0875">
                            <w:rPr>
                              <w:rStyle w:val="Collegamentoipertestuale"/>
                              <w:rFonts w:ascii="Arial" w:eastAsia="Times New Roman" w:hAnsi="Arial" w:cs="Arial"/>
                              <w:bdr w:val="single" w:sz="2" w:space="0" w:color="D9D9D9" w:frame="1"/>
                              <w:shd w:val="clear" w:color="auto" w:fill="DDDDDD"/>
                              <w:lang w:eastAsia="it-IT"/>
                            </w:rPr>
                            <w:t>pe</w:t>
                          </w:r>
                          <w:r w:rsidR="004B6596" w:rsidRPr="00CF0875">
                            <w:rPr>
                              <w:rStyle w:val="Collegamentoipertestuale"/>
                              <w:rFonts w:ascii="Arial" w:eastAsia="Times New Roman" w:hAnsi="Arial" w:cs="Arial"/>
                              <w:bdr w:val="single" w:sz="2" w:space="0" w:color="D9D9D9" w:frame="1"/>
                              <w:shd w:val="clear" w:color="auto" w:fill="DDDDDD"/>
                              <w:lang w:eastAsia="it-IT"/>
                            </w:rPr>
                            <w:t xml:space="preserve">r </w:t>
                          </w:r>
                          <w:r w:rsidR="004B6596" w:rsidRPr="00CF0875">
                            <w:rPr>
                              <w:rStyle w:val="Collegamentoipertestuale"/>
                              <w:rFonts w:ascii="Arial" w:eastAsia="Times New Roman" w:hAnsi="Arial" w:cs="Arial"/>
                              <w:bdr w:val="single" w:sz="2" w:space="0" w:color="D9D9D9" w:frame="1"/>
                              <w:shd w:val="clear" w:color="auto" w:fill="DDDDDD"/>
                              <w:lang w:eastAsia="it-IT"/>
                            </w:rPr>
                            <w:t>candidarti</w:t>
                          </w:r>
                        </w:hyperlink>
                      </w:p>
                    </w:tc>
                  </w:tr>
                </w:tbl>
                <w:p w:rsidR="004B6596" w:rsidRPr="004B6596" w:rsidRDefault="004B6596" w:rsidP="004B659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4B6596" w:rsidRPr="004B6596" w:rsidRDefault="004B6596" w:rsidP="004B6596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it-IT"/>
              </w:rPr>
            </w:pPr>
          </w:p>
        </w:tc>
      </w:tr>
      <w:tr w:rsidR="004B6596" w:rsidRPr="004B6596" w:rsidTr="004B65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B6596" w:rsidRPr="004B659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70" w:type="dxa"/>
                    <w:left w:w="105" w:type="dxa"/>
                    <w:bottom w:w="270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8"/>
                  </w:tblGrid>
                  <w:tr w:rsidR="004B6596" w:rsidRPr="004B6596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single" w:sz="12" w:space="0" w:color="FFCF41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6596" w:rsidRPr="004B6596" w:rsidRDefault="004B6596" w:rsidP="004B6596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"/>
                            <w:szCs w:val="2"/>
                            <w:lang w:eastAsia="it-IT"/>
                          </w:rPr>
                        </w:pPr>
                      </w:p>
                    </w:tc>
                  </w:tr>
                </w:tbl>
                <w:p w:rsidR="004B6596" w:rsidRPr="004B6596" w:rsidRDefault="004B6596" w:rsidP="004B6596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4B6596" w:rsidRPr="004B6596" w:rsidRDefault="004B6596" w:rsidP="004B6596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it-IT"/>
              </w:rPr>
            </w:pPr>
          </w:p>
        </w:tc>
      </w:tr>
      <w:tr w:rsidR="004B6596" w:rsidRPr="004B6596" w:rsidTr="004B65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B6596" w:rsidRPr="004B659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color w:val="FFCF41"/>
                      <w:sz w:val="24"/>
                      <w:szCs w:val="24"/>
                      <w:lang w:eastAsia="it-IT"/>
                    </w:rPr>
                    <w:t>IL TOUR DI PRESENTAZIONE</w:t>
                  </w:r>
                </w:p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La novità di questa edizione è il </w:t>
                  </w:r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it-IT"/>
                    </w:rPr>
                    <w:t>tour di presentazione</w:t>
                  </w: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 del Premio Galileo, che porterà i 5 autori finalisti a parlare delle proprie opere in quattro città diverse. </w:t>
                  </w:r>
                  <w:r w:rsidRPr="004B6596">
                    <w:rPr>
                      <w:rFonts w:ascii="Arial" w:eastAsia="Times New Roman" w:hAnsi="Arial" w:cs="Arial"/>
                      <w:color w:val="000000"/>
                      <w:spacing w:val="8"/>
                      <w:sz w:val="20"/>
                      <w:szCs w:val="20"/>
                      <w:shd w:val="clear" w:color="auto" w:fill="FFFFFF"/>
                      <w:lang w:eastAsia="it-IT"/>
                    </w:rPr>
                    <w:t>Ciascun appuntamento sarà moderato da un giornalista della Giuria Scientifica. Ecco le tappe del tour a cui Lei e i suoi studenti potete partecipare:</w:t>
                  </w:r>
                </w:p>
                <w:p w:rsidR="004B6596" w:rsidRPr="004B6596" w:rsidRDefault="004B6596" w:rsidP="00DA747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945"/>
                    <w:jc w:val="both"/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Mercoledì 29 gennaio 2020, Sala Buzzati, Milano. Conduce </w:t>
                  </w:r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Giovanni Caprara,</w:t>
                  </w:r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 saggista ed editorialista scientifico </w:t>
                  </w:r>
                  <w:r w:rsidRPr="004B6596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>Corriere della Sera</w:t>
                  </w:r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. </w:t>
                  </w:r>
                  <w:r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begin"/>
                  </w:r>
                  <w:r w:rsidR="00BD2F7F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instrText>HYPERLINK "https://www.eventbrite.it/e/biglietti-premio-galileo-2020-incontro-con-gli-autori-finalisti-84729134121"</w:instrText>
                  </w:r>
                  <w:r w:rsidR="00BD2F7F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</w:r>
                  <w:r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separate"/>
                  </w:r>
                  <w:r w:rsidRPr="00F74771">
                    <w:rPr>
                      <w:rStyle w:val="Collegamentoipertestuale"/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t>Clicca qu</w:t>
                  </w:r>
                  <w:r w:rsidRPr="00F74771">
                    <w:rPr>
                      <w:rStyle w:val="Collegamentoipertestuale"/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t xml:space="preserve">i per </w:t>
                  </w:r>
                  <w:r w:rsidRPr="00F74771">
                    <w:rPr>
                      <w:rStyle w:val="Collegamentoipertestuale"/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t xml:space="preserve">registrarti </w:t>
                  </w:r>
                  <w:r w:rsidRPr="00F74771">
                    <w:rPr>
                      <w:rStyle w:val="Collegamentoipertestuale"/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t>all'evento</w:t>
                  </w:r>
                  <w:r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end"/>
                  </w:r>
                </w:p>
                <w:p w:rsidR="004B6596" w:rsidRPr="004B6596" w:rsidRDefault="004B6596" w:rsidP="00DA747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945"/>
                    <w:jc w:val="both"/>
                    <w:rPr>
                      <w:rFonts w:ascii="Helvetica" w:eastAsia="Times New Roman" w:hAnsi="Helvetica" w:cs="Helvetica"/>
                      <w:color w:val="FFC000" w:themeColor="accent4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Venerdì 7 febbraio 2020, Fondazione Circolo dei Lettori, Torino. Conduce </w:t>
                  </w:r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Gabriele Beccaria</w:t>
                  </w:r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, giornalista, responsabile inserti </w:t>
                  </w:r>
                  <w:proofErr w:type="spellStart"/>
                  <w:r w:rsidRPr="004B6596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>Tuttoscienze</w:t>
                  </w:r>
                  <w:proofErr w:type="spellEnd"/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 e </w:t>
                  </w:r>
                  <w:proofErr w:type="spellStart"/>
                  <w:r w:rsidRPr="004B6596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>Tuttosalute</w:t>
                  </w:r>
                  <w:proofErr w:type="spellEnd"/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 de </w:t>
                  </w:r>
                  <w:r w:rsidRPr="004B6596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>La Stampa</w:t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fldChar w:fldCharType="begin"/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instrText xml:space="preserve"> HYPERLINK "https://www.eventbrite.it/e/biglietti-premio-galileo-2020-incontro-con-gli-autori-finalisti-84729589483" </w:instrText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F74771">
                    <w:rPr>
                      <w:rStyle w:val="Collegamentoipertestuale"/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t>. </w:t>
                  </w:r>
                  <w:r w:rsidRPr="00F74771">
                    <w:rPr>
                      <w:rStyle w:val="Collegamentoipertestuale"/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t xml:space="preserve">Clicca </w:t>
                  </w:r>
                  <w:r w:rsidRPr="00F74771">
                    <w:rPr>
                      <w:rStyle w:val="Collegamentoipertestuale"/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t>qui per registrarti all’evento</w:t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fldChar w:fldCharType="end"/>
                  </w:r>
                </w:p>
                <w:p w:rsidR="004B6596" w:rsidRPr="004B6596" w:rsidRDefault="004B6596" w:rsidP="00DA747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945"/>
                    <w:jc w:val="both"/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Venerdì 28 febbraio 2020, MUSE-Museo delle Scienze, Trento. Conduce </w:t>
                  </w:r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Rossella </w:t>
                  </w:r>
                  <w:proofErr w:type="spellStart"/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Panarese</w:t>
                  </w:r>
                  <w:proofErr w:type="spellEnd"/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, </w:t>
                  </w:r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autrice e conduttrice </w:t>
                  </w:r>
                  <w:r w:rsidRPr="004B6596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>Radio3 Scienza</w:t>
                  </w:r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.</w:t>
                  </w:r>
                  <w:r w:rsidRPr="004B6596">
                    <w:rPr>
                      <w:rFonts w:ascii="Helvetica" w:eastAsia="Times New Roman" w:hAnsi="Helvetica" w:cs="Helvetica"/>
                      <w:color w:val="FFCF41"/>
                      <w:sz w:val="20"/>
                      <w:szCs w:val="20"/>
                      <w:lang w:eastAsia="it-IT"/>
                    </w:rPr>
                    <w:t> </w:t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begin"/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instrText xml:space="preserve"> HYPERLINK "https://www.eventbrite.it/e/biglietti-premio-galileo-2020-incontro-con-gli-autori-finalisti-84729944545" </w:instrText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separate"/>
                  </w:r>
                  <w:r w:rsidRPr="00F74771">
                    <w:rPr>
                      <w:rStyle w:val="Collegamentoipertestuale"/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t xml:space="preserve">Clicca qui per </w:t>
                  </w:r>
                  <w:r w:rsidRPr="00F74771">
                    <w:rPr>
                      <w:rStyle w:val="Collegamentoipertestuale"/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t xml:space="preserve">registrarti </w:t>
                  </w:r>
                  <w:r w:rsidRPr="00F74771">
                    <w:rPr>
                      <w:rStyle w:val="Collegamentoipertestuale"/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t>all’evento</w:t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end"/>
                  </w:r>
                </w:p>
                <w:p w:rsidR="004B6596" w:rsidRPr="004B6596" w:rsidRDefault="004B6596" w:rsidP="00DA747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945"/>
                    <w:jc w:val="both"/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 xml:space="preserve">Sabato 28 marzo 2020, Caffè </w:t>
                  </w:r>
                  <w:proofErr w:type="spellStart"/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Pedrocchi</w:t>
                  </w:r>
                  <w:proofErr w:type="spellEnd"/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, Padova. Conduce </w:t>
                  </w:r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Silvia </w:t>
                  </w:r>
                  <w:proofErr w:type="spellStart"/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Bencivelli</w:t>
                  </w:r>
                  <w:proofErr w:type="spellEnd"/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,</w:t>
                  </w:r>
                  <w:r w:rsidRPr="004B659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it-IT"/>
                    </w:rPr>
                    <w:t> giornalista, saggista, conduttrice radiofonica e televisiva italiana.</w:t>
                  </w:r>
                  <w:r w:rsidRPr="004B6596">
                    <w:rPr>
                      <w:rFonts w:ascii="Helvetica" w:eastAsia="Times New Roman" w:hAnsi="Helvetica" w:cs="Helvetica"/>
                      <w:color w:val="FFCF41"/>
                      <w:sz w:val="20"/>
                      <w:szCs w:val="20"/>
                      <w:lang w:eastAsia="it-IT"/>
                    </w:rPr>
                    <w:t> </w:t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begin"/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instrText xml:space="preserve"> HYPERLINK "https://www.eventbrite.it/e/biglietti-premio-galileo-2020-incontro-con-gli-autori-finalisti-84729944545" </w:instrText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separate"/>
                  </w:r>
                  <w:r w:rsidRPr="00F74771">
                    <w:rPr>
                      <w:rStyle w:val="Collegamentoipertestuale"/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t>Clicca qui per registrarti</w:t>
                  </w:r>
                  <w:r w:rsidRPr="00F74771">
                    <w:rPr>
                      <w:rStyle w:val="Collegamentoipertestuale"/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lang w:eastAsia="it-IT"/>
                    </w:rPr>
                    <w:t xml:space="preserve"> all’evento</w:t>
                  </w:r>
                  <w:r w:rsidR="00DA7475" w:rsidRPr="00F74771">
                    <w:rPr>
                      <w:rFonts w:ascii="Helvetica" w:eastAsia="Times New Roman" w:hAnsi="Helvetica" w:cs="Helvetica"/>
                      <w:color w:val="FFC000" w:themeColor="accent4"/>
                      <w:sz w:val="20"/>
                      <w:szCs w:val="20"/>
                      <w:u w:val="single"/>
                      <w:lang w:eastAsia="it-IT"/>
                    </w:rPr>
                    <w:fldChar w:fldCharType="end"/>
                  </w:r>
                </w:p>
              </w:tc>
            </w:tr>
          </w:tbl>
          <w:p w:rsidR="004B6596" w:rsidRPr="004B6596" w:rsidRDefault="004B6596" w:rsidP="00DA747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it-IT"/>
              </w:rPr>
            </w:pPr>
          </w:p>
        </w:tc>
      </w:tr>
      <w:tr w:rsidR="004B6596" w:rsidRPr="004B6596" w:rsidTr="004B65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B6596" w:rsidRPr="004B6596" w:rsidTr="00BD2F7F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70" w:type="dxa"/>
                    <w:left w:w="105" w:type="dxa"/>
                    <w:bottom w:w="270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8"/>
                  </w:tblGrid>
                  <w:tr w:rsidR="004B6596" w:rsidRPr="004B6596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single" w:sz="12" w:space="0" w:color="FFCF41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6596" w:rsidRPr="004B6596" w:rsidRDefault="004B6596" w:rsidP="00DA7475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sz w:val="2"/>
                            <w:szCs w:val="2"/>
                            <w:lang w:eastAsia="it-IT"/>
                          </w:rPr>
                        </w:pPr>
                      </w:p>
                    </w:tc>
                  </w:tr>
                </w:tbl>
                <w:p w:rsidR="004B6596" w:rsidRPr="004B6596" w:rsidRDefault="004B6596" w:rsidP="00DA7475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4B6596" w:rsidRPr="004B6596" w:rsidRDefault="004B6596" w:rsidP="00DA747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it-IT"/>
              </w:rPr>
            </w:pPr>
          </w:p>
        </w:tc>
      </w:tr>
      <w:tr w:rsidR="004B6596" w:rsidRPr="004B6596" w:rsidTr="004B65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B6596" w:rsidRPr="004B659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:rsidR="004B6596" w:rsidRPr="004B6596" w:rsidRDefault="004B6596" w:rsidP="004B6596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color w:val="FFCF41"/>
                      <w:sz w:val="24"/>
                      <w:szCs w:val="24"/>
                      <w:lang w:eastAsia="it-IT"/>
                    </w:rPr>
                    <w:t>PER MAGGIORI INFORMAZIONI</w:t>
                  </w:r>
                </w:p>
                <w:p w:rsidR="004B6596" w:rsidRPr="004B6596" w:rsidRDefault="004B6596" w:rsidP="004B6596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  <w:p w:rsidR="004B6596" w:rsidRPr="004B6596" w:rsidRDefault="004B6596" w:rsidP="004B6596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Contattaci dal lunedì al venerdì, dalle 9.30 alle 18, ai seguenti recapiti:</w:t>
                  </w:r>
                </w:p>
                <w:p w:rsidR="004B6596" w:rsidRPr="004B6596" w:rsidRDefault="004B6596" w:rsidP="004B6596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</w:p>
                <w:p w:rsidR="004B6596" w:rsidRPr="004B6596" w:rsidRDefault="004B6596" w:rsidP="004B6596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it-IT"/>
                    </w:rPr>
                    <w:t>Goodnet</w:t>
                  </w:r>
                  <w:proofErr w:type="spellEnd"/>
                  <w:r w:rsidRPr="004B65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it-IT"/>
                    </w:rPr>
                    <w:t xml:space="preserve"> Territori in Rete</w:t>
                  </w:r>
                </w:p>
                <w:p w:rsidR="004B6596" w:rsidRPr="004B6596" w:rsidRDefault="004B6596" w:rsidP="004B6596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M. </w:t>
                  </w:r>
                  <w:r w:rsidRPr="004B6596">
                    <w:rPr>
                      <w:rFonts w:ascii="Helvetica" w:eastAsia="Times New Roman" w:hAnsi="Helvetica" w:cs="Helvetica"/>
                      <w:color w:val="FFCF41"/>
                      <w:sz w:val="20"/>
                      <w:szCs w:val="20"/>
                      <w:lang w:eastAsia="it-IT"/>
                    </w:rPr>
                    <w:t>premiogalileo@goodnet.it</w:t>
                  </w:r>
                </w:p>
                <w:p w:rsidR="004B6596" w:rsidRPr="004B6596" w:rsidRDefault="004B6596" w:rsidP="004B6596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</w:pPr>
                  <w:r w:rsidRPr="004B6596">
                    <w:rPr>
                      <w:rFonts w:ascii="Helvetica" w:eastAsia="Times New Roman" w:hAnsi="Helvetica" w:cs="Helvetica"/>
                      <w:sz w:val="20"/>
                      <w:szCs w:val="20"/>
                      <w:lang w:eastAsia="it-IT"/>
                    </w:rPr>
                    <w:t>T. 049 0991240</w:t>
                  </w:r>
                </w:p>
              </w:tc>
            </w:tr>
          </w:tbl>
          <w:p w:rsidR="004B6596" w:rsidRPr="004B6596" w:rsidRDefault="004B6596" w:rsidP="004B6596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it-IT"/>
              </w:rPr>
            </w:pPr>
          </w:p>
        </w:tc>
      </w:tr>
    </w:tbl>
    <w:p w:rsidR="004B6596" w:rsidRDefault="004B6596"/>
    <w:sectPr w:rsidR="004B6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FA7"/>
    <w:multiLevelType w:val="multilevel"/>
    <w:tmpl w:val="18D8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C6524"/>
    <w:multiLevelType w:val="multilevel"/>
    <w:tmpl w:val="DDBC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96"/>
    <w:rsid w:val="00250867"/>
    <w:rsid w:val="004B6596"/>
    <w:rsid w:val="00784A2B"/>
    <w:rsid w:val="007F604A"/>
    <w:rsid w:val="00921BDD"/>
    <w:rsid w:val="00BD2F7F"/>
    <w:rsid w:val="00CF0875"/>
    <w:rsid w:val="00DA7475"/>
    <w:rsid w:val="00F7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6F05D-27B6-424C-8954-6D0FE42D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659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771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747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zohopublic.com/goodnetsrl/form/GiuriaesternaPremioGalileo2020/formperma/PBdCBPD3-qHq1_i-VSob24zRCWYsMs7Ap0ev51tQM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lileofestival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1</cp:revision>
  <cp:lastPrinted>2020-01-13T10:29:00Z</cp:lastPrinted>
  <dcterms:created xsi:type="dcterms:W3CDTF">2020-01-13T09:08:00Z</dcterms:created>
  <dcterms:modified xsi:type="dcterms:W3CDTF">2020-01-13T10:38:00Z</dcterms:modified>
</cp:coreProperties>
</file>